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hint="eastAsia" w:ascii="黑体" w:hAnsi="黑体" w:eastAsia="黑体"/>
          <w:sz w:val="36"/>
          <w:szCs w:val="36"/>
        </w:rPr>
      </w:pPr>
      <w:r>
        <w:rPr>
          <w:rFonts w:hint="eastAsia" w:ascii="黑体" w:hAnsi="黑体" w:eastAsia="黑体"/>
          <w:sz w:val="36"/>
          <w:szCs w:val="36"/>
        </w:rPr>
        <w:t>辽宁省教育厅办公室关于开展2018年辽宁省职业教育与成人教育教学成果奖评审工作的通知</w:t>
      </w:r>
    </w:p>
    <w:p>
      <w:pPr>
        <w:jc w:val="center"/>
        <w:rPr>
          <w:rFonts w:hint="eastAsia" w:ascii="黑体" w:hAnsi="黑体" w:eastAsia="黑体"/>
          <w:sz w:val="32"/>
          <w:szCs w:val="32"/>
        </w:rPr>
      </w:pPr>
    </w:p>
    <w:p>
      <w:pPr>
        <w:rPr>
          <w:rFonts w:ascii="仿宋" w:hAnsi="仿宋" w:eastAsia="仿宋" w:cs="仿宋"/>
          <w:sz w:val="32"/>
          <w:szCs w:val="32"/>
        </w:rPr>
      </w:pPr>
      <w:r>
        <w:rPr>
          <w:rFonts w:hint="eastAsia" w:ascii="仿宋" w:hAnsi="仿宋" w:eastAsia="仿宋" w:cs="仿宋"/>
          <w:sz w:val="32"/>
          <w:szCs w:val="32"/>
        </w:rPr>
        <w:t>各市教育局，省内各高等职业院校，各成人高校</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各有关学校</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kern w:val="0"/>
          <w:sz w:val="32"/>
          <w:szCs w:val="32"/>
        </w:rPr>
        <w:t>为全面贯彻落实党的十九大精神，</w:t>
      </w:r>
      <w:r>
        <w:rPr>
          <w:rFonts w:hint="eastAsia" w:ascii="仿宋" w:hAnsi="仿宋" w:eastAsia="仿宋" w:cs="仿宋"/>
          <w:sz w:val="32"/>
          <w:szCs w:val="32"/>
        </w:rPr>
        <w:t>加快发展现代职业教育,发挥教学成果的引领激励作用，推动我省职业教育不断深化教育教学改革，全面提升技术技能人才培养质量，按照国家《教学成果奖励</w:t>
      </w:r>
      <w:r>
        <w:rPr>
          <w:rFonts w:hint="eastAsia" w:ascii="仿宋" w:hAnsi="仿宋" w:eastAsia="仿宋" w:cs="仿宋"/>
          <w:sz w:val="32"/>
          <w:szCs w:val="32"/>
          <w:lang w:val="en-US" w:eastAsia="zh-CN"/>
        </w:rPr>
        <w:t>条例</w:t>
      </w:r>
      <w:r>
        <w:rPr>
          <w:rFonts w:hint="eastAsia" w:ascii="仿宋" w:hAnsi="仿宋" w:eastAsia="仿宋" w:cs="仿宋"/>
          <w:sz w:val="32"/>
          <w:szCs w:val="32"/>
        </w:rPr>
        <w:t>》的规定和《教育部关于开展2018年国家级教学成果奖评审工作的通知》文件精神，我省决定开展2018年职业教育与成人教育教学成果奖评审工作。现将有关事项通知如下：</w:t>
      </w:r>
    </w:p>
    <w:p>
      <w:pPr>
        <w:ind w:firstLine="640" w:firstLineChars="200"/>
        <w:rPr>
          <w:rFonts w:ascii="黑体" w:hAnsi="黑体" w:eastAsia="黑体" w:cs="黑体"/>
          <w:bCs/>
          <w:sz w:val="32"/>
          <w:szCs w:val="32"/>
        </w:rPr>
      </w:pPr>
      <w:r>
        <w:rPr>
          <w:rFonts w:hint="eastAsia" w:ascii="黑体" w:hAnsi="黑体" w:eastAsia="黑体" w:cs="黑体"/>
          <w:bCs/>
          <w:sz w:val="32"/>
          <w:szCs w:val="32"/>
        </w:rPr>
        <w:t>一、申报对象</w:t>
      </w:r>
    </w:p>
    <w:p>
      <w:pPr>
        <w:ind w:firstLine="640" w:firstLineChars="200"/>
        <w:rPr>
          <w:rFonts w:ascii="仿宋" w:hAnsi="仿宋" w:eastAsia="仿宋" w:cs="仿宋"/>
          <w:sz w:val="32"/>
          <w:szCs w:val="32"/>
        </w:rPr>
      </w:pPr>
      <w:r>
        <w:rPr>
          <w:rFonts w:hint="eastAsia" w:ascii="仿宋" w:hAnsi="仿宋" w:eastAsia="仿宋" w:cs="仿宋"/>
          <w:sz w:val="32"/>
          <w:szCs w:val="32"/>
        </w:rPr>
        <w:t>全省中等职业学校、高等职业院校、成人高校，从事职业教育和成人教育的学术团体和其他社会组织、教师及其他个人，均可申报2018年辽宁省职业教育与成人教育教学成果奖。</w:t>
      </w:r>
    </w:p>
    <w:p>
      <w:pPr>
        <w:rPr>
          <w:rFonts w:ascii="黑体" w:hAnsi="黑体" w:eastAsia="黑体" w:cs="黑体"/>
          <w:bCs/>
          <w:sz w:val="32"/>
          <w:szCs w:val="32"/>
        </w:rPr>
      </w:pPr>
      <w:r>
        <w:rPr>
          <w:rFonts w:hint="eastAsia" w:ascii="仿宋" w:hAnsi="仿宋" w:eastAsia="仿宋" w:cs="仿宋"/>
          <w:b/>
          <w:sz w:val="32"/>
          <w:szCs w:val="32"/>
        </w:rPr>
        <w:t xml:space="preserve"> 　</w:t>
      </w:r>
      <w:r>
        <w:rPr>
          <w:rFonts w:hint="eastAsia" w:ascii="黑体" w:hAnsi="黑体" w:eastAsia="黑体" w:cs="黑体"/>
          <w:bCs/>
          <w:sz w:val="32"/>
          <w:szCs w:val="32"/>
        </w:rPr>
        <w:t>　二、评审原则</w:t>
      </w:r>
    </w:p>
    <w:p>
      <w:pPr>
        <w:ind w:firstLine="627" w:firstLineChars="196"/>
        <w:rPr>
          <w:rFonts w:ascii="仿宋" w:hAnsi="仿宋" w:eastAsia="仿宋" w:cs="仿宋"/>
          <w:b/>
          <w:sz w:val="32"/>
          <w:szCs w:val="32"/>
        </w:rPr>
      </w:pPr>
      <w:r>
        <w:rPr>
          <w:rFonts w:hint="eastAsia" w:ascii="仿宋" w:hAnsi="仿宋" w:eastAsia="仿宋" w:cs="仿宋"/>
          <w:sz w:val="32"/>
          <w:szCs w:val="32"/>
        </w:rPr>
        <w:t>（一）坚持正确政治方向，全面贯彻党的教育方针，落实立德树人根本任务；</w:t>
      </w:r>
    </w:p>
    <w:p>
      <w:pPr>
        <w:ind w:firstLine="640" w:firstLineChars="200"/>
        <w:rPr>
          <w:rFonts w:ascii="仿宋" w:hAnsi="仿宋" w:eastAsia="仿宋" w:cs="仿宋"/>
          <w:sz w:val="32"/>
          <w:szCs w:val="32"/>
        </w:rPr>
      </w:pPr>
      <w:r>
        <w:rPr>
          <w:rFonts w:hint="eastAsia" w:ascii="仿宋" w:hAnsi="仿宋" w:eastAsia="仿宋" w:cs="仿宋"/>
          <w:sz w:val="32"/>
          <w:szCs w:val="32"/>
        </w:rPr>
        <w:t>（二）坚持以提高人才培养质量为核心，深化教育教学改革，突出实践性和创新性；</w:t>
      </w:r>
    </w:p>
    <w:p>
      <w:pPr>
        <w:ind w:firstLine="640" w:firstLineChars="200"/>
        <w:rPr>
          <w:rFonts w:ascii="仿宋" w:hAnsi="仿宋" w:eastAsia="仿宋" w:cs="仿宋"/>
          <w:sz w:val="32"/>
          <w:szCs w:val="32"/>
        </w:rPr>
      </w:pPr>
      <w:r>
        <w:rPr>
          <w:rFonts w:hint="eastAsia" w:ascii="仿宋" w:hAnsi="仿宋" w:eastAsia="仿宋" w:cs="仿宋"/>
          <w:sz w:val="32"/>
          <w:szCs w:val="32"/>
        </w:rPr>
        <w:t>（三）坚持引导优秀人才终身从教，向长期从事一线教育教学的教师倾斜；</w:t>
      </w:r>
    </w:p>
    <w:p>
      <w:pPr>
        <w:ind w:firstLine="640" w:firstLineChars="200"/>
        <w:rPr>
          <w:rFonts w:ascii="仿宋" w:hAnsi="仿宋" w:eastAsia="仿宋" w:cs="仿宋"/>
          <w:sz w:val="32"/>
          <w:szCs w:val="32"/>
        </w:rPr>
      </w:pPr>
      <w:r>
        <w:rPr>
          <w:rFonts w:hint="eastAsia" w:ascii="仿宋" w:hAnsi="仿宋" w:eastAsia="仿宋" w:cs="仿宋"/>
          <w:sz w:val="32"/>
          <w:szCs w:val="32"/>
        </w:rPr>
        <w:t>（四）坚持示范引领，重在应用推广，带动提高相关领域人才培养能力；</w:t>
      </w:r>
    </w:p>
    <w:p>
      <w:pPr>
        <w:ind w:firstLine="640" w:firstLineChars="200"/>
        <w:rPr>
          <w:rFonts w:ascii="仿宋" w:hAnsi="仿宋" w:eastAsia="仿宋" w:cs="仿宋"/>
          <w:sz w:val="32"/>
          <w:szCs w:val="32"/>
        </w:rPr>
      </w:pPr>
      <w:r>
        <w:rPr>
          <w:rFonts w:hint="eastAsia" w:ascii="仿宋" w:hAnsi="仿宋" w:eastAsia="仿宋" w:cs="仿宋"/>
          <w:sz w:val="32"/>
          <w:szCs w:val="32"/>
        </w:rPr>
        <w:t>(五) 坚持公开、公平、公正和专家评审；</w:t>
      </w:r>
    </w:p>
    <w:p>
      <w:pPr>
        <w:ind w:firstLine="480" w:firstLineChars="150"/>
        <w:rPr>
          <w:rFonts w:ascii="仿宋" w:hAnsi="仿宋" w:eastAsia="仿宋" w:cs="仿宋"/>
          <w:sz w:val="32"/>
          <w:szCs w:val="32"/>
        </w:rPr>
      </w:pPr>
      <w:r>
        <w:rPr>
          <w:rFonts w:hint="eastAsia" w:ascii="仿宋" w:hAnsi="仿宋" w:eastAsia="仿宋" w:cs="仿宋"/>
          <w:sz w:val="32"/>
          <w:szCs w:val="32"/>
        </w:rPr>
        <w:t>（六）坚持标准、质量第一、宁缺毋滥。</w:t>
      </w:r>
    </w:p>
    <w:p>
      <w:pPr>
        <w:rPr>
          <w:rFonts w:ascii="仿宋" w:hAnsi="仿宋" w:eastAsia="仿宋" w:cs="仿宋"/>
          <w:b/>
          <w:sz w:val="32"/>
          <w:szCs w:val="32"/>
        </w:rPr>
      </w:pPr>
      <w:r>
        <w:rPr>
          <w:rFonts w:hint="eastAsia" w:ascii="仿宋" w:hAnsi="仿宋" w:eastAsia="仿宋" w:cs="仿宋"/>
          <w:sz w:val="32"/>
          <w:szCs w:val="32"/>
        </w:rPr>
        <w:t xml:space="preserve">    </w:t>
      </w:r>
      <w:r>
        <w:rPr>
          <w:rFonts w:hint="eastAsia" w:ascii="黑体" w:hAnsi="黑体" w:eastAsia="黑体" w:cs="黑体"/>
          <w:bCs/>
          <w:sz w:val="32"/>
          <w:szCs w:val="32"/>
        </w:rPr>
        <w:t xml:space="preserve"> 三、申请主体要求</w:t>
      </w:r>
    </w:p>
    <w:p>
      <w:pPr>
        <w:ind w:firstLine="640" w:firstLineChars="200"/>
        <w:rPr>
          <w:rFonts w:ascii="仿宋" w:hAnsi="仿宋" w:eastAsia="仿宋" w:cs="仿宋"/>
          <w:sz w:val="32"/>
          <w:szCs w:val="32"/>
        </w:rPr>
      </w:pPr>
      <w:r>
        <w:rPr>
          <w:rFonts w:hint="eastAsia" w:ascii="仿宋" w:hAnsi="仿宋" w:eastAsia="仿宋" w:cs="仿宋"/>
          <w:sz w:val="32"/>
          <w:szCs w:val="32"/>
        </w:rPr>
        <w:t>（一）个人申请教学成果奖的，应当主持并直接参与成果的方案设计、论证、研究和实施全过程，并做出主要贡献。</w:t>
      </w:r>
    </w:p>
    <w:p>
      <w:pPr>
        <w:rPr>
          <w:rFonts w:ascii="仿宋" w:hAnsi="仿宋" w:eastAsia="仿宋" w:cs="仿宋"/>
          <w:sz w:val="32"/>
          <w:szCs w:val="32"/>
        </w:rPr>
      </w:pPr>
      <w:r>
        <w:rPr>
          <w:rFonts w:hint="eastAsia" w:ascii="仿宋" w:hAnsi="仿宋" w:eastAsia="仿宋" w:cs="仿宋"/>
          <w:sz w:val="32"/>
          <w:szCs w:val="32"/>
        </w:rPr>
        <w:t xml:space="preserve"> 　　（二）单位申请教学成果奖的，该成果应当体现单位意志，由单位派人主持方案设计、论证、研究和实施全过程，并以单位为主提供物质技术条件保障。</w:t>
      </w:r>
    </w:p>
    <w:p>
      <w:pPr>
        <w:rPr>
          <w:rFonts w:hint="eastAsia" w:ascii="仿宋" w:hAnsi="仿宋" w:eastAsia="仿宋" w:cs="仿宋"/>
          <w:sz w:val="32"/>
          <w:szCs w:val="32"/>
        </w:rPr>
      </w:pPr>
      <w:r>
        <w:rPr>
          <w:rFonts w:hint="eastAsia" w:ascii="仿宋" w:hAnsi="仿宋" w:eastAsia="仿宋" w:cs="仿宋"/>
          <w:sz w:val="32"/>
          <w:szCs w:val="32"/>
        </w:rPr>
        <w:t xml:space="preserve"> 　　（三）教学成果由两个以上单位或者个人共同完成的，由共同完成单位或个人联合申请。两个以上单位或者个人不在同一市(高职、成人学校不在同一校)的，由成果主持单位或者成果主持人所在市教育行政部门（高职、成人学校）提出申请。</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（四）地方各级人民政府、各级行政部门及其工作人员申请教学成果奖的，原则上不予推荐。</w:t>
      </w:r>
    </w:p>
    <w:p>
      <w:pPr>
        <w:overflowPunct w:val="0"/>
        <w:snapToGrid w:val="0"/>
        <w:spacing w:line="560" w:lineRule="exact"/>
        <w:rPr>
          <w:rFonts w:ascii="黑体" w:hAnsi="黑体" w:eastAsia="黑体" w:cs="黑体"/>
          <w:bCs/>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　</w:t>
      </w:r>
      <w:r>
        <w:rPr>
          <w:rFonts w:hint="eastAsia" w:ascii="黑体" w:hAnsi="黑体" w:eastAsia="黑体" w:cs="黑体"/>
          <w:bCs/>
          <w:sz w:val="32"/>
          <w:szCs w:val="32"/>
        </w:rPr>
        <w:t>四、评奖条件</w:t>
      </w:r>
    </w:p>
    <w:p>
      <w:pPr>
        <w:rPr>
          <w:rFonts w:ascii="仿宋" w:hAnsi="仿宋" w:eastAsia="仿宋" w:cs="仿宋"/>
          <w:b/>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　　（一）成果内容</w:t>
      </w:r>
    </w:p>
    <w:p>
      <w:pPr>
        <w:ind w:firstLine="640" w:firstLineChars="200"/>
        <w:rPr>
          <w:rFonts w:ascii="仿宋" w:hAnsi="仿宋" w:eastAsia="仿宋" w:cs="仿宋"/>
          <w:sz w:val="32"/>
          <w:szCs w:val="32"/>
        </w:rPr>
      </w:pPr>
      <w:r>
        <w:rPr>
          <w:rFonts w:hint="eastAsia" w:ascii="仿宋" w:hAnsi="仿宋" w:eastAsia="仿宋" w:cs="仿宋"/>
          <w:sz w:val="32"/>
          <w:szCs w:val="32"/>
        </w:rPr>
        <w:t>2018年辽宁省职业教育与成人教育教学成果奖的教学成果应全面贯彻党的教育方针，坚持为社会主义现代化建设服务、为人民服务，落实立德树人根本任务，反映党的十八大以来我省职业教育教学改革的新成就，代表职业教育教学改革理论创新和实践探索的新成果，针对职业教育教学中存在的主要问题，提出有效解决办法，实施效果显著，能够在教育教学领域贯彻落实党的十九大精神，健全职业教育与培训体系，深化产教融合、校企合作中发挥引领作用。主要包括：</w:t>
      </w:r>
    </w:p>
    <w:p>
      <w:pPr>
        <w:ind w:firstLine="640" w:firstLineChars="200"/>
        <w:rPr>
          <w:rFonts w:ascii="仿宋" w:hAnsi="仿宋" w:eastAsia="仿宋" w:cs="仿宋"/>
          <w:sz w:val="32"/>
          <w:szCs w:val="32"/>
        </w:rPr>
      </w:pPr>
      <w:r>
        <w:rPr>
          <w:rFonts w:hint="eastAsia" w:ascii="仿宋" w:hAnsi="仿宋" w:eastAsia="仿宋" w:cs="仿宋"/>
          <w:sz w:val="32"/>
          <w:szCs w:val="32"/>
        </w:rPr>
        <w:t>1.在转变教育思想、更新教育观念，培育和践行社会主义核心价值观，落实立德树人根本任务，加强和改进公共基础课教学，推进专业建设和课程改革等方面具有独创性、新颖性、实用性，对提高教学水平和教育质量、实现培养目标产生明显效果和推广价值的成果。</w:t>
      </w:r>
    </w:p>
    <w:p>
      <w:pPr>
        <w:ind w:firstLine="640" w:firstLineChars="200"/>
        <w:rPr>
          <w:rFonts w:ascii="仿宋" w:hAnsi="仿宋" w:eastAsia="仿宋" w:cs="仿宋"/>
          <w:sz w:val="32"/>
          <w:szCs w:val="32"/>
        </w:rPr>
      </w:pPr>
      <w:r>
        <w:rPr>
          <w:rFonts w:hint="eastAsia" w:ascii="仿宋" w:hAnsi="仿宋" w:eastAsia="仿宋" w:cs="仿宋"/>
          <w:sz w:val="32"/>
          <w:szCs w:val="32"/>
        </w:rPr>
        <w:t>2.在教学组织管理，推动教学改革及教学科学管理，加强教学基本建设，改进教学方式方法、促进信息技术应用，推广应用优质教育资源，强化实践教学环节，改革教学质量评价模式等方面具有独创性、新颖性、实用性，对提高教学水平和教育质量、实现培养目标产生明显效果和推广价值的成果。</w:t>
      </w:r>
    </w:p>
    <w:p>
      <w:pPr>
        <w:ind w:firstLine="640" w:firstLineChars="200"/>
        <w:rPr>
          <w:rFonts w:ascii="仿宋" w:hAnsi="仿宋" w:eastAsia="仿宋" w:cs="仿宋"/>
          <w:sz w:val="32"/>
          <w:szCs w:val="32"/>
        </w:rPr>
      </w:pPr>
      <w:r>
        <w:rPr>
          <w:rFonts w:hint="eastAsia" w:ascii="仿宋" w:hAnsi="仿宋" w:eastAsia="仿宋" w:cs="仿宋"/>
          <w:sz w:val="32"/>
          <w:szCs w:val="32"/>
        </w:rPr>
        <w:t>3.在改革人才培养模式，推进产教融合、校企合作，健全德技并修育人机制，培养工匠精神、职业道德和就业创业能力，推进行业企业参与人才培养全过程，实现校企协同育人等方面具有独创性、新颖性、实用性，对提高教学水平和教育质量、实现培养目标产生明显效果和推广价值的成果。</w:t>
      </w:r>
    </w:p>
    <w:p>
      <w:pPr>
        <w:rPr>
          <w:rFonts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b/>
          <w:sz w:val="32"/>
          <w:szCs w:val="32"/>
        </w:rPr>
        <w:t>　（二）成果要求</w:t>
      </w:r>
    </w:p>
    <w:p>
      <w:pPr>
        <w:rPr>
          <w:rFonts w:ascii="仿宋" w:hAnsi="仿宋" w:eastAsia="仿宋" w:cs="仿宋"/>
          <w:sz w:val="32"/>
          <w:szCs w:val="32"/>
        </w:rPr>
      </w:pPr>
      <w:r>
        <w:rPr>
          <w:rFonts w:hint="eastAsia" w:ascii="仿宋" w:hAnsi="仿宋" w:eastAsia="仿宋" w:cs="仿宋"/>
          <w:sz w:val="32"/>
          <w:szCs w:val="32"/>
        </w:rPr>
        <w:t xml:space="preserve"> 　　2018年辽宁省职业教育与成人教育教学成果奖的教学成果申报应符合国家《教学成果奖励条例》规定的有关条件要求。</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特等奖教学成果应在职业教育教学理论上有重大创新，在职业教育教学改革实践中取得特别重大突破，对提高教学水平和教育质量、实现培养目标有突出贡献，在国内处于领先水平，在全国产生重大影响，并经过不少于4年的教育教学实践检验。</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一等奖教学成果应在职业教育教学理论上有创新，对职业教育教学改革实践有重大示范作用，对提高教学水平和教育质量、实现培养目标产生重大成效，在全国或者省内产生重大影响，并经过不少于4年的教育教学实践检验。</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二等奖教学成果应在职业教育教学理论或者实践的某一方面有重大突破，在提高教学水平和教育质量、实现培养目标等方面取得显著成效并产生较大影响，并经过不少于2年的教育教学实践检验。</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三等奖教学成果应在职业教育教学理论或者实践的某一方面有突破，在提高教学水平和教育质量、实现培养目标等方面取得显著成效并产生一定影响，并经过不少于2年的教育教学实践检验。</w:t>
      </w:r>
    </w:p>
    <w:p>
      <w:pPr>
        <w:rPr>
          <w:rFonts w:ascii="仿宋" w:hAnsi="仿宋" w:eastAsia="仿宋" w:cs="仿宋"/>
          <w:sz w:val="32"/>
          <w:szCs w:val="32"/>
        </w:rPr>
      </w:pPr>
      <w:r>
        <w:rPr>
          <w:rFonts w:hint="eastAsia" w:ascii="仿宋" w:hAnsi="仿宋" w:eastAsia="仿宋" w:cs="仿宋"/>
          <w:sz w:val="32"/>
          <w:szCs w:val="32"/>
        </w:rPr>
        <w:t xml:space="preserve"> 　　教学成果实践检验的起始时间，应从正式实施（包括正式试行）教育教学方案的时间开始计算，不含研讨、论证及制定方案的时间。成果为教材（包括电子教材）、著作等出版物的，从正式出版的时间开始计算。截止时间为推荐2018年辽宁省职业教育教学成果奖的时间。</w:t>
      </w:r>
    </w:p>
    <w:p>
      <w:pPr>
        <w:rPr>
          <w:rFonts w:ascii="仿宋" w:hAnsi="仿宋" w:eastAsia="仿宋" w:cs="仿宋"/>
          <w:sz w:val="32"/>
          <w:szCs w:val="32"/>
        </w:rPr>
      </w:pPr>
      <w:r>
        <w:rPr>
          <w:rFonts w:hint="eastAsia" w:ascii="仿宋" w:hAnsi="仿宋" w:eastAsia="仿宋" w:cs="仿宋"/>
          <w:sz w:val="32"/>
          <w:szCs w:val="32"/>
        </w:rPr>
        <w:t>　　已经获得过省级教学成果奖的成果，在内容相同而没有特别创新的情况下不得再次申报。</w:t>
      </w:r>
    </w:p>
    <w:p>
      <w:pPr>
        <w:rPr>
          <w:rFonts w:ascii="仿宋" w:hAnsi="仿宋" w:eastAsia="仿宋" w:cs="仿宋"/>
          <w:b/>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（三）成果形式</w:t>
      </w:r>
    </w:p>
    <w:p>
      <w:pPr>
        <w:rPr>
          <w:rFonts w:ascii="仿宋" w:hAnsi="仿宋" w:eastAsia="仿宋" w:cs="仿宋"/>
          <w:sz w:val="32"/>
          <w:szCs w:val="32"/>
        </w:rPr>
      </w:pPr>
      <w:r>
        <w:rPr>
          <w:rFonts w:hint="eastAsia" w:ascii="仿宋" w:hAnsi="仿宋" w:eastAsia="仿宋" w:cs="仿宋"/>
          <w:sz w:val="32"/>
          <w:szCs w:val="32"/>
        </w:rPr>
        <w:t xml:space="preserve"> 　　2018年辽宁省职业教育与成人教育教学成果主要形式为有关教学成果的实施方案、研究报告、教材、课件（软件）、论文、著作等。</w:t>
      </w:r>
    </w:p>
    <w:p>
      <w:pPr>
        <w:rPr>
          <w:rFonts w:ascii="仿宋" w:hAnsi="仿宋" w:eastAsia="仿宋" w:cs="仿宋"/>
          <w:b/>
          <w:sz w:val="32"/>
          <w:szCs w:val="32"/>
        </w:rPr>
      </w:pPr>
      <w:r>
        <w:rPr>
          <w:rFonts w:hint="eastAsia" w:ascii="仿宋" w:hAnsi="仿宋" w:eastAsia="仿宋" w:cs="仿宋"/>
          <w:sz w:val="32"/>
          <w:szCs w:val="32"/>
        </w:rPr>
        <w:t xml:space="preserve"> 　　</w:t>
      </w:r>
      <w:r>
        <w:rPr>
          <w:rFonts w:hint="eastAsia" w:ascii="黑体" w:hAnsi="黑体" w:eastAsia="黑体" w:cs="黑体"/>
          <w:bCs/>
          <w:sz w:val="32"/>
          <w:szCs w:val="32"/>
        </w:rPr>
        <w:t>五、奖励名额</w:t>
      </w:r>
    </w:p>
    <w:p>
      <w:pPr>
        <w:rPr>
          <w:rFonts w:ascii="仿宋" w:hAnsi="仿宋" w:eastAsia="仿宋" w:cs="仿宋"/>
          <w:sz w:val="32"/>
          <w:szCs w:val="32"/>
        </w:rPr>
      </w:pPr>
      <w:r>
        <w:rPr>
          <w:rFonts w:hint="eastAsia" w:ascii="仿宋" w:hAnsi="仿宋" w:eastAsia="仿宋" w:cs="仿宋"/>
          <w:sz w:val="32"/>
          <w:szCs w:val="32"/>
        </w:rPr>
        <w:t xml:space="preserve"> 　　2018年辽宁省职业教育与成人教育教学成果奖项452项，其中特等奖2项，一等奖60项，二等奖150项，三等奖240项。</w:t>
      </w:r>
    </w:p>
    <w:p>
      <w:pPr>
        <w:rPr>
          <w:rFonts w:ascii="仿宋" w:hAnsi="仿宋" w:eastAsia="仿宋" w:cs="仿宋"/>
          <w:b/>
          <w:sz w:val="32"/>
          <w:szCs w:val="32"/>
        </w:rPr>
      </w:pPr>
      <w:r>
        <w:rPr>
          <w:rFonts w:hint="eastAsia" w:ascii="仿宋" w:hAnsi="仿宋" w:eastAsia="仿宋" w:cs="仿宋"/>
          <w:sz w:val="32"/>
          <w:szCs w:val="32"/>
        </w:rPr>
        <w:t>　　</w:t>
      </w:r>
      <w:r>
        <w:rPr>
          <w:rFonts w:hint="eastAsia" w:ascii="黑体" w:hAnsi="黑体" w:eastAsia="黑体" w:cs="黑体"/>
          <w:bCs/>
          <w:sz w:val="32"/>
          <w:szCs w:val="32"/>
        </w:rPr>
        <w:t>六、申报程序及推荐名额</w:t>
      </w:r>
    </w:p>
    <w:p>
      <w:pPr>
        <w:rPr>
          <w:rFonts w:ascii="仿宋" w:hAnsi="仿宋" w:eastAsia="仿宋" w:cs="仿宋"/>
          <w:sz w:val="32"/>
          <w:szCs w:val="32"/>
        </w:rPr>
      </w:pPr>
      <w:r>
        <w:rPr>
          <w:rFonts w:hint="eastAsia" w:ascii="仿宋" w:hAnsi="仿宋" w:eastAsia="仿宋" w:cs="仿宋"/>
          <w:sz w:val="32"/>
          <w:szCs w:val="32"/>
        </w:rPr>
        <w:t xml:space="preserve"> 　　1.申报程序</w:t>
      </w:r>
    </w:p>
    <w:p>
      <w:pPr>
        <w:ind w:firstLine="640" w:firstLineChars="200"/>
        <w:rPr>
          <w:rFonts w:ascii="仿宋" w:hAnsi="仿宋" w:eastAsia="仿宋" w:cs="仿宋"/>
          <w:sz w:val="32"/>
          <w:szCs w:val="32"/>
        </w:rPr>
      </w:pPr>
      <w:r>
        <w:rPr>
          <w:rFonts w:hint="eastAsia" w:ascii="仿宋" w:hAnsi="仿宋" w:eastAsia="仿宋" w:cs="仿宋"/>
          <w:sz w:val="32"/>
          <w:szCs w:val="32"/>
        </w:rPr>
        <w:t>中等职业学校按属地化向所在地的市级教育行政部门提出申请，各市教育行政部门初评汇总后，择优统一向省教育厅申报；高等职业院校、成人高校经本校组织初评后，直接向省教育厅择优申报。</w:t>
      </w:r>
    </w:p>
    <w:p>
      <w:pPr>
        <w:ind w:firstLine="640" w:firstLineChars="200"/>
        <w:rPr>
          <w:rFonts w:ascii="仿宋" w:hAnsi="仿宋" w:eastAsia="仿宋" w:cs="仿宋"/>
          <w:sz w:val="32"/>
          <w:szCs w:val="32"/>
        </w:rPr>
      </w:pPr>
      <w:r>
        <w:rPr>
          <w:rFonts w:hint="eastAsia" w:ascii="仿宋" w:hAnsi="仿宋" w:eastAsia="仿宋" w:cs="仿宋"/>
          <w:sz w:val="32"/>
          <w:szCs w:val="32"/>
        </w:rPr>
        <w:t>2.推荐名额</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实行限额推荐。</w:t>
      </w:r>
      <w:r>
        <w:rPr>
          <w:rFonts w:hint="eastAsia" w:ascii="仿宋" w:hAnsi="仿宋" w:eastAsia="仿宋" w:cs="仿宋"/>
          <w:color w:val="auto"/>
          <w:sz w:val="32"/>
          <w:szCs w:val="32"/>
          <w:lang w:val="en-US" w:eastAsia="zh-CN"/>
        </w:rPr>
        <w:t>中等职业教育：</w:t>
      </w:r>
      <w:r>
        <w:rPr>
          <w:rFonts w:hint="eastAsia" w:ascii="仿宋" w:hAnsi="仿宋" w:eastAsia="仿宋" w:cs="仿宋"/>
          <w:color w:val="auto"/>
          <w:sz w:val="32"/>
          <w:szCs w:val="32"/>
        </w:rPr>
        <w:t>各市</w:t>
      </w:r>
      <w:r>
        <w:rPr>
          <w:rFonts w:hint="eastAsia" w:ascii="仿宋" w:hAnsi="仿宋" w:eastAsia="仿宋" w:cs="仿宋"/>
          <w:color w:val="auto"/>
          <w:sz w:val="32"/>
          <w:szCs w:val="32"/>
          <w:lang w:val="en-US" w:eastAsia="zh-CN"/>
        </w:rPr>
        <w:t>按专任教师数量比例限额申报</w:t>
      </w:r>
      <w:r>
        <w:rPr>
          <w:rFonts w:hint="eastAsia" w:ascii="仿宋" w:hAnsi="仿宋" w:eastAsia="仿宋" w:cs="仿宋"/>
          <w:color w:val="auto"/>
          <w:sz w:val="32"/>
          <w:szCs w:val="32"/>
        </w:rPr>
        <w:t>；高等职业</w:t>
      </w:r>
      <w:r>
        <w:rPr>
          <w:rFonts w:hint="eastAsia" w:ascii="仿宋" w:hAnsi="仿宋" w:eastAsia="仿宋" w:cs="仿宋"/>
          <w:color w:val="auto"/>
          <w:sz w:val="32"/>
          <w:szCs w:val="32"/>
          <w:lang w:val="en-US" w:eastAsia="zh-CN"/>
        </w:rPr>
        <w:t>教育</w:t>
      </w:r>
      <w:r>
        <w:rPr>
          <w:rFonts w:hint="eastAsia" w:ascii="仿宋" w:hAnsi="仿宋" w:eastAsia="仿宋" w:cs="仿宋"/>
          <w:color w:val="auto"/>
          <w:sz w:val="32"/>
          <w:szCs w:val="32"/>
        </w:rPr>
        <w:t>：省高水平现代化建设院校每校推荐数量不超过</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项（高职申报名额含高职成人教育和继续教育，下同），省高水平特色专业群建设院校每校推荐数量不超过</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项，其他独立设置的高职院校每校推荐数量不超过</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项，普通本科院校所属高职院每校推荐数量不超过</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成人教育：</w:t>
      </w:r>
      <w:r>
        <w:rPr>
          <w:rFonts w:hint="eastAsia" w:ascii="仿宋" w:hAnsi="仿宋" w:eastAsia="仿宋" w:cs="仿宋"/>
          <w:color w:val="auto"/>
          <w:sz w:val="32"/>
          <w:szCs w:val="32"/>
        </w:rPr>
        <w:t>独立设置的成人高校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普通本科院校所属成人教育（继续教育）学院每校推荐数量</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项。各地、各校在推荐中要统筹兼顾不同层次、不同类型的教学成果。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推荐名额见附件4</w:t>
      </w:r>
      <w:r>
        <w:rPr>
          <w:rFonts w:hint="eastAsia" w:ascii="仿宋" w:hAnsi="仿宋" w:eastAsia="仿宋" w:cs="仿宋"/>
          <w:color w:val="auto"/>
          <w:sz w:val="32"/>
          <w:szCs w:val="32"/>
          <w:lang w:eastAsia="zh-CN"/>
        </w:rPr>
        <w:t>）</w:t>
      </w:r>
    </w:p>
    <w:p>
      <w:pPr>
        <w:ind w:firstLine="640" w:firstLineChars="200"/>
        <w:rPr>
          <w:rFonts w:ascii="黑体" w:hAnsi="黑体" w:eastAsia="黑体" w:cs="黑体"/>
          <w:bCs/>
          <w:sz w:val="32"/>
          <w:szCs w:val="32"/>
        </w:rPr>
      </w:pPr>
      <w:r>
        <w:rPr>
          <w:rFonts w:hint="eastAsia" w:ascii="黑体" w:hAnsi="黑体" w:eastAsia="黑体" w:cs="黑体"/>
          <w:bCs/>
          <w:sz w:val="32"/>
          <w:szCs w:val="32"/>
        </w:rPr>
        <w:t>七、申报材料</w:t>
      </w:r>
    </w:p>
    <w:p>
      <w:pPr>
        <w:ind w:firstLine="156" w:firstLineChars="49"/>
        <w:rPr>
          <w:rFonts w:ascii="仿宋" w:hAnsi="仿宋" w:eastAsia="仿宋" w:cs="仿宋"/>
          <w:sz w:val="32"/>
          <w:szCs w:val="32"/>
        </w:rPr>
      </w:pPr>
      <w:r>
        <w:rPr>
          <w:rFonts w:hint="eastAsia" w:ascii="仿宋" w:hAnsi="仿宋" w:eastAsia="仿宋" w:cs="仿宋"/>
          <w:sz w:val="32"/>
          <w:szCs w:val="32"/>
        </w:rPr>
        <w:t>　 推荐2018年辽宁省职业教育与成人教育教学成果奖须提交以下材料：</w:t>
      </w:r>
    </w:p>
    <w:p>
      <w:pPr>
        <w:overflowPunct w:val="0"/>
        <w:snapToGrid w:val="0"/>
        <w:spacing w:line="560" w:lineRule="exact"/>
        <w:ind w:firstLine="640" w:firstLineChars="200"/>
        <w:rPr>
          <w:rFonts w:ascii="仿宋" w:hAnsi="仿宋" w:eastAsia="仿宋" w:cs="仿宋"/>
          <w:color w:val="auto"/>
          <w:sz w:val="32"/>
          <w:szCs w:val="32"/>
        </w:rPr>
      </w:pPr>
      <w:r>
        <w:rPr>
          <w:rFonts w:hint="eastAsia" w:ascii="仿宋" w:hAnsi="仿宋" w:eastAsia="仿宋" w:cs="仿宋"/>
          <w:sz w:val="32"/>
          <w:szCs w:val="32"/>
        </w:rPr>
        <w:t>提交各市、学校（高职或成人）推荐报告、《</w:t>
      </w:r>
      <w:r>
        <w:rPr>
          <w:rFonts w:hint="eastAsia" w:ascii="仿宋" w:hAnsi="仿宋" w:eastAsia="仿宋" w:cs="仿宋"/>
          <w:sz w:val="32"/>
          <w:szCs w:val="32"/>
          <w:lang w:val="en-US" w:eastAsia="zh-CN"/>
        </w:rPr>
        <w:t>2018</w:t>
      </w:r>
      <w:r>
        <w:rPr>
          <w:rFonts w:hint="eastAsia" w:ascii="仿宋" w:hAnsi="仿宋" w:eastAsia="仿宋" w:cs="仿宋"/>
          <w:sz w:val="32"/>
          <w:szCs w:val="32"/>
        </w:rPr>
        <w:t>辽宁省职业教育与成人教育教学成果奖推荐书》</w:t>
      </w:r>
      <w:r>
        <w:rPr>
          <w:rFonts w:hint="eastAsia" w:ascii="仿宋" w:hAnsi="仿宋" w:eastAsia="仿宋" w:cs="仿宋"/>
          <w:sz w:val="32"/>
          <w:szCs w:val="32"/>
          <w:lang w:eastAsia="zh-CN"/>
        </w:rPr>
        <w:t>（</w:t>
      </w:r>
      <w:r>
        <w:rPr>
          <w:rFonts w:hint="eastAsia" w:ascii="仿宋" w:hAnsi="仿宋" w:eastAsia="仿宋" w:cs="仿宋"/>
          <w:color w:val="auto"/>
          <w:sz w:val="32"/>
          <w:szCs w:val="32"/>
          <w:lang w:val="en-US" w:eastAsia="zh-CN"/>
        </w:rPr>
        <w:t>附件1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、教学成果报告、《</w:t>
      </w:r>
      <w:r>
        <w:rPr>
          <w:rFonts w:hint="eastAsia" w:ascii="仿宋" w:hAnsi="仿宋" w:eastAsia="仿宋" w:cs="仿宋"/>
          <w:color w:val="auto"/>
          <w:sz w:val="32"/>
          <w:szCs w:val="32"/>
          <w:lang w:val="en-US" w:eastAsia="zh-CN"/>
        </w:rPr>
        <w:t>2018</w:t>
      </w:r>
      <w:r>
        <w:rPr>
          <w:rFonts w:hint="eastAsia" w:ascii="仿宋" w:hAnsi="仿宋" w:eastAsia="仿宋" w:cs="仿宋"/>
          <w:color w:val="auto"/>
          <w:sz w:val="32"/>
          <w:szCs w:val="32"/>
        </w:rPr>
        <w:t>辽宁省职业教育与成人教育教学成果奖推荐简况表》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附件2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2018年辽宁省职业教育</w:t>
      </w:r>
      <w:r>
        <w:rPr>
          <w:rFonts w:hint="eastAsia" w:ascii="仿宋" w:hAnsi="仿宋" w:eastAsia="仿宋" w:cs="仿宋"/>
          <w:sz w:val="32"/>
          <w:szCs w:val="32"/>
        </w:rPr>
        <w:t>与成人教育教学成果奖推荐成果汇总表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附件3，1份实名</w:t>
      </w:r>
      <w:r>
        <w:rPr>
          <w:rFonts w:hint="eastAsia" w:ascii="仿宋" w:hAnsi="仿宋" w:eastAsia="仿宋" w:cs="仿宋"/>
          <w:sz w:val="32"/>
          <w:szCs w:val="32"/>
          <w:lang w:eastAsia="zh-CN"/>
        </w:rPr>
        <w:t>）</w:t>
      </w:r>
      <w:r>
        <w:rPr>
          <w:rFonts w:hint="eastAsia" w:ascii="仿宋" w:hAnsi="仿宋" w:eastAsia="仿宋" w:cs="仿宋"/>
          <w:sz w:val="32"/>
          <w:szCs w:val="32"/>
        </w:rPr>
        <w:t>以及教学成果应用和效果证明材料（</w:t>
      </w:r>
      <w:r>
        <w:rPr>
          <w:rFonts w:hint="eastAsia" w:ascii="仿宋" w:hAnsi="仿宋" w:eastAsia="仿宋" w:cs="仿宋"/>
          <w:sz w:val="32"/>
          <w:szCs w:val="32"/>
          <w:lang w:val="en-US" w:eastAsia="zh-CN"/>
        </w:rPr>
        <w:t>附件1、2</w:t>
      </w:r>
      <w:r>
        <w:rPr>
          <w:rFonts w:hint="eastAsia" w:ascii="仿宋" w:hAnsi="仿宋" w:eastAsia="仿宋" w:cs="仿宋"/>
          <w:sz w:val="32"/>
          <w:szCs w:val="32"/>
        </w:rPr>
        <w:t>纸质材料：1份实名，2份匿名；电子材料：实名、匿名各一套。电子档为PDF格式）。教学成果如为教材，须提交样书（一式两本或两套）及教材电子档，电子档为PDF格式，包括教材封面、出版信息页、目录及精选内容等。教学成果</w:t>
      </w:r>
      <w:r>
        <w:rPr>
          <w:rFonts w:hint="eastAsia" w:ascii="仿宋" w:hAnsi="仿宋" w:eastAsia="仿宋" w:cs="仿宋"/>
          <w:color w:val="auto"/>
          <w:sz w:val="32"/>
          <w:szCs w:val="32"/>
        </w:rPr>
        <w:t>中如含视频材料的，可提供FLV格式的视频材料，播放时间不超过15分钟。申报2018年辽宁省职业教育与成人教育</w:t>
      </w:r>
      <w:r>
        <w:rPr>
          <w:rFonts w:hint="eastAsia" w:ascii="仿宋" w:hAnsi="仿宋" w:eastAsia="仿宋" w:cs="仿宋"/>
          <w:color w:val="auto"/>
          <w:sz w:val="32"/>
          <w:szCs w:val="32"/>
          <w:lang w:val="en-US" w:eastAsia="zh-CN"/>
        </w:rPr>
        <w:t>特等奖和</w:t>
      </w:r>
      <w:r>
        <w:rPr>
          <w:rFonts w:hint="eastAsia" w:ascii="仿宋" w:hAnsi="仿宋" w:eastAsia="仿宋" w:cs="仿宋"/>
          <w:color w:val="auto"/>
          <w:sz w:val="32"/>
          <w:szCs w:val="32"/>
        </w:rPr>
        <w:t>一等奖教学成果，</w:t>
      </w:r>
      <w:r>
        <w:rPr>
          <w:rFonts w:hint="eastAsia" w:ascii="仿宋" w:hAnsi="仿宋" w:eastAsia="仿宋" w:cs="仿宋"/>
          <w:color w:val="auto"/>
          <w:sz w:val="32"/>
          <w:szCs w:val="32"/>
          <w:lang w:val="en-US" w:eastAsia="zh-CN"/>
        </w:rPr>
        <w:t>须提交《职业教育省级教学成果奖鉴定书》或成果验收证明材料（一式一份）。</w:t>
      </w:r>
      <w:r>
        <w:rPr>
          <w:rFonts w:ascii="仿宋" w:hAnsi="仿宋" w:eastAsia="仿宋" w:cs="仿宋"/>
          <w:color w:val="auto"/>
          <w:sz w:val="32"/>
          <w:szCs w:val="32"/>
        </w:rPr>
        <w:t>201</w:t>
      </w:r>
      <w:r>
        <w:rPr>
          <w:rFonts w:hint="eastAsia" w:ascii="仿宋" w:hAnsi="仿宋" w:eastAsia="仿宋" w:cs="仿宋"/>
          <w:color w:val="auto"/>
          <w:sz w:val="32"/>
          <w:szCs w:val="32"/>
        </w:rPr>
        <w:t>6年</w:t>
      </w:r>
      <w:r>
        <w:rPr>
          <w:rFonts w:ascii="仿宋" w:hAnsi="仿宋" w:eastAsia="仿宋" w:cs="仿宋"/>
          <w:color w:val="auto"/>
          <w:sz w:val="32"/>
          <w:szCs w:val="32"/>
        </w:rPr>
        <w:t>1</w:t>
      </w:r>
      <w:r>
        <w:rPr>
          <w:rFonts w:hint="eastAsia" w:ascii="仿宋" w:hAnsi="仿宋" w:eastAsia="仿宋" w:cs="仿宋"/>
          <w:color w:val="auto"/>
          <w:sz w:val="32"/>
          <w:szCs w:val="32"/>
        </w:rPr>
        <w:t>月</w:t>
      </w:r>
      <w:r>
        <w:rPr>
          <w:rFonts w:ascii="仿宋" w:hAnsi="仿宋" w:eastAsia="仿宋" w:cs="仿宋"/>
          <w:color w:val="auto"/>
          <w:sz w:val="32"/>
          <w:szCs w:val="32"/>
        </w:rPr>
        <w:t>1</w:t>
      </w:r>
      <w:r>
        <w:rPr>
          <w:rFonts w:hint="eastAsia" w:ascii="仿宋" w:hAnsi="仿宋" w:eastAsia="仿宋" w:cs="仿宋"/>
          <w:color w:val="auto"/>
          <w:sz w:val="32"/>
          <w:szCs w:val="32"/>
        </w:rPr>
        <w:t>日后通过省（部）级及有关全国行业职业教育教学指导委员会鉴定或验收，推荐单位可不再进行重复性的鉴定，但须将有关的鉴定书或验收证明按要求上报。教学成果参加过其他评比、评奖活动的，可一并提交鉴定、验收等相关材料。推荐材料应完整、真实、规范。</w:t>
      </w:r>
    </w:p>
    <w:p>
      <w:pPr>
        <w:rPr>
          <w:rFonts w:ascii="仿宋" w:hAnsi="仿宋" w:eastAsia="仿宋" w:cs="仿宋"/>
          <w:color w:val="auto"/>
          <w:sz w:val="32"/>
          <w:szCs w:val="32"/>
        </w:rPr>
      </w:pPr>
      <w:r>
        <w:rPr>
          <w:rFonts w:hint="eastAsia" w:ascii="仿宋" w:hAnsi="仿宋" w:eastAsia="仿宋" w:cs="仿宋"/>
          <w:color w:val="auto"/>
          <w:sz w:val="32"/>
          <w:szCs w:val="32"/>
        </w:rPr>
        <w:t xml:space="preserve"> 　　有下列情况之一的不予受理：</w:t>
      </w:r>
    </w:p>
    <w:p>
      <w:pPr>
        <w:rPr>
          <w:rFonts w:ascii="仿宋" w:hAnsi="仿宋" w:eastAsia="仿宋" w:cs="仿宋"/>
          <w:sz w:val="32"/>
          <w:szCs w:val="32"/>
        </w:rPr>
      </w:pPr>
      <w:r>
        <w:rPr>
          <w:rFonts w:hint="eastAsia" w:ascii="仿宋" w:hAnsi="仿宋" w:eastAsia="仿宋" w:cs="仿宋"/>
          <w:sz w:val="32"/>
          <w:szCs w:val="32"/>
        </w:rPr>
        <w:t xml:space="preserve"> 　（一）未按照规定程序申报、推荐的；</w:t>
      </w:r>
    </w:p>
    <w:p>
      <w:pPr>
        <w:rPr>
          <w:rFonts w:ascii="仿宋" w:hAnsi="仿宋" w:eastAsia="仿宋" w:cs="仿宋"/>
          <w:sz w:val="32"/>
          <w:szCs w:val="32"/>
        </w:rPr>
      </w:pPr>
      <w:r>
        <w:rPr>
          <w:rFonts w:hint="eastAsia" w:ascii="仿宋" w:hAnsi="仿宋" w:eastAsia="仿宋" w:cs="仿宋"/>
          <w:sz w:val="32"/>
          <w:szCs w:val="32"/>
        </w:rPr>
        <w:t xml:space="preserve"> 　（二）不符合职业教育与成人教育教学成果奖励对象、内容与时限的；</w:t>
      </w:r>
    </w:p>
    <w:p>
      <w:pPr>
        <w:rPr>
          <w:rFonts w:ascii="仿宋" w:hAnsi="仿宋" w:eastAsia="仿宋" w:cs="仿宋"/>
          <w:sz w:val="32"/>
          <w:szCs w:val="32"/>
        </w:rPr>
      </w:pPr>
      <w:r>
        <w:rPr>
          <w:rFonts w:hint="eastAsia" w:ascii="仿宋" w:hAnsi="仿宋" w:eastAsia="仿宋" w:cs="仿宋"/>
          <w:sz w:val="32"/>
          <w:szCs w:val="32"/>
        </w:rPr>
        <w:t xml:space="preserve"> 　（三）成果持有人或单位不符合规定的；</w:t>
      </w:r>
    </w:p>
    <w:p>
      <w:pPr>
        <w:rPr>
          <w:rFonts w:ascii="仿宋" w:hAnsi="仿宋" w:eastAsia="仿宋" w:cs="仿宋"/>
          <w:sz w:val="32"/>
          <w:szCs w:val="32"/>
        </w:rPr>
      </w:pPr>
      <w:r>
        <w:rPr>
          <w:rFonts w:hint="eastAsia" w:ascii="仿宋" w:hAnsi="仿宋" w:eastAsia="仿宋" w:cs="仿宋"/>
          <w:sz w:val="32"/>
          <w:szCs w:val="32"/>
        </w:rPr>
        <w:t xml:space="preserve"> 　（四）未按规定格式和要求填写推荐材料以及规定的附件不齐全的；</w:t>
      </w:r>
    </w:p>
    <w:p>
      <w:pPr>
        <w:rPr>
          <w:rFonts w:ascii="仿宋" w:hAnsi="仿宋" w:eastAsia="仿宋" w:cs="仿宋"/>
          <w:sz w:val="32"/>
          <w:szCs w:val="32"/>
        </w:rPr>
      </w:pPr>
      <w:r>
        <w:rPr>
          <w:rFonts w:hint="eastAsia" w:ascii="仿宋" w:hAnsi="仿宋" w:eastAsia="仿宋" w:cs="仿宋"/>
          <w:sz w:val="32"/>
          <w:szCs w:val="32"/>
        </w:rPr>
        <w:t xml:space="preserve"> 　（五）存在权属争议或其他弄虚作假行为的。</w:t>
      </w:r>
    </w:p>
    <w:p>
      <w:pPr>
        <w:ind w:firstLine="640" w:firstLineChars="200"/>
        <w:rPr>
          <w:rFonts w:ascii="仿宋" w:hAnsi="仿宋" w:eastAsia="仿宋" w:cs="仿宋"/>
          <w:b/>
          <w:sz w:val="32"/>
          <w:szCs w:val="32"/>
        </w:rPr>
      </w:pPr>
      <w:r>
        <w:rPr>
          <w:rFonts w:hint="eastAsia" w:ascii="黑体" w:hAnsi="黑体" w:eastAsia="黑体" w:cs="黑体"/>
          <w:bCs/>
          <w:sz w:val="32"/>
          <w:szCs w:val="32"/>
        </w:rPr>
        <w:t>八、评选方法</w:t>
      </w:r>
    </w:p>
    <w:p>
      <w:pPr>
        <w:rPr>
          <w:rFonts w:ascii="仿宋" w:hAnsi="仿宋" w:eastAsia="仿宋" w:cs="仿宋"/>
          <w:sz w:val="32"/>
          <w:szCs w:val="32"/>
        </w:rPr>
      </w:pPr>
      <w:r>
        <w:rPr>
          <w:rFonts w:hint="eastAsia" w:ascii="仿宋" w:hAnsi="仿宋" w:eastAsia="仿宋" w:cs="仿宋"/>
          <w:sz w:val="32"/>
          <w:szCs w:val="32"/>
        </w:rPr>
        <w:t xml:space="preserve"> 　　2018年辽宁省职业教育与成人教育教学成果奖由省教育厅聘请有关专家评审，在专家评审意见的基础上，由省教育厅研究确定最终评审结果。</w:t>
      </w:r>
    </w:p>
    <w:p>
      <w:pPr>
        <w:ind w:firstLine="640" w:firstLineChars="200"/>
        <w:rPr>
          <w:rFonts w:ascii="黑体" w:hAnsi="黑体" w:eastAsia="黑体" w:cs="黑体"/>
          <w:sz w:val="32"/>
          <w:szCs w:val="32"/>
        </w:rPr>
      </w:pPr>
      <w:r>
        <w:rPr>
          <w:rFonts w:hint="eastAsia" w:ascii="黑体" w:hAnsi="黑体" w:eastAsia="黑体" w:cs="黑体"/>
          <w:sz w:val="32"/>
          <w:szCs w:val="32"/>
        </w:rPr>
        <w:t>九、有关要求</w:t>
      </w:r>
    </w:p>
    <w:p>
      <w:pPr>
        <w:rPr>
          <w:rFonts w:ascii="仿宋" w:hAnsi="仿宋" w:eastAsia="仿宋" w:cs="仿宋"/>
          <w:color w:val="auto"/>
          <w:sz w:val="32"/>
          <w:szCs w:val="32"/>
        </w:rPr>
      </w:pPr>
      <w:r>
        <w:rPr>
          <w:rFonts w:hint="eastAsia" w:ascii="仿宋" w:hAnsi="仿宋" w:eastAsia="仿宋" w:cs="仿宋"/>
          <w:sz w:val="32"/>
          <w:szCs w:val="32"/>
        </w:rPr>
        <w:t xml:space="preserve"> 　　（一）各</w:t>
      </w:r>
      <w:r>
        <w:rPr>
          <w:rFonts w:hint="eastAsia" w:ascii="仿宋" w:hAnsi="仿宋" w:eastAsia="仿宋" w:cs="仿宋"/>
          <w:color w:val="auto"/>
          <w:sz w:val="32"/>
          <w:szCs w:val="32"/>
        </w:rPr>
        <w:t>地、各校要高度重视，加强领导，认真做好教学成果奖评审的组织、推荐工作。评审过程要由纪检部门进行监督，确保公平公正。对推荐成果主持者、参与者要进行资格审查，做到思想政治和师德表现双把关。推荐成果报送省教育厅前，必须在本校校园网主页对成果的相关信息进行公示。</w:t>
      </w:r>
    </w:p>
    <w:p>
      <w:pPr>
        <w:rPr>
          <w:rFonts w:ascii="仿宋" w:hAnsi="仿宋" w:eastAsia="仿宋" w:cs="仿宋"/>
          <w:sz w:val="32"/>
          <w:szCs w:val="32"/>
        </w:rPr>
      </w:pPr>
      <w:r>
        <w:rPr>
          <w:rFonts w:hint="eastAsia" w:ascii="仿宋" w:hAnsi="仿宋" w:eastAsia="仿宋" w:cs="仿宋"/>
          <w:sz w:val="32"/>
          <w:szCs w:val="32"/>
        </w:rPr>
        <w:t xml:space="preserve"> 　　（二）各校要广泛接受社会监督，在我厅公布获奖名单后，对经公示发现问题且调查核实的成果，取消获奖资格，情节严重的将责成有关单位给予严肃处理。</w:t>
      </w:r>
    </w:p>
    <w:p>
      <w:pPr>
        <w:rPr>
          <w:rFonts w:ascii="仿宋" w:hAnsi="仿宋" w:eastAsia="仿宋" w:cs="仿宋"/>
          <w:sz w:val="32"/>
          <w:szCs w:val="32"/>
        </w:rPr>
      </w:pPr>
      <w:r>
        <w:rPr>
          <w:rFonts w:hint="eastAsia" w:ascii="仿宋" w:hAnsi="仿宋" w:eastAsia="仿宋" w:cs="仿宋"/>
          <w:sz w:val="32"/>
          <w:szCs w:val="32"/>
        </w:rPr>
        <w:t xml:space="preserve"> 　　（三）各市、各高校要以项为单位，将每项成果的相关材料各自装入一个档案袋内，将《推荐书》封面（复印件）贴于档案袋的正面，同时在其背面标明推荐顺序编号、推荐学校、名称和主要完成人，并将对应的电子压缩文件和电子《汇总表》以推荐市、学校命名后，发送至指定邮箱。</w:t>
      </w:r>
    </w:p>
    <w:p>
      <w:pPr>
        <w:rPr>
          <w:rFonts w:hint="eastAsia" w:ascii="仿宋" w:hAnsi="仿宋" w:eastAsia="仿宋" w:cs="仿宋"/>
          <w:sz w:val="32"/>
          <w:szCs w:val="32"/>
        </w:rPr>
      </w:pPr>
      <w:r>
        <w:rPr>
          <w:rFonts w:hint="eastAsia" w:ascii="仿宋" w:hAnsi="仿宋" w:eastAsia="仿宋" w:cs="仿宋"/>
          <w:sz w:val="32"/>
          <w:szCs w:val="32"/>
        </w:rPr>
        <w:t xml:space="preserve"> 　（四）请各推荐单位于2018年3月20日前将全部材料寄（送）到</w:t>
      </w:r>
      <w:r>
        <w:rPr>
          <w:rFonts w:hint="eastAsia" w:ascii="仿宋" w:hAnsi="仿宋" w:eastAsia="仿宋" w:cs="仿宋"/>
          <w:sz w:val="32"/>
          <w:szCs w:val="32"/>
          <w:lang w:val="en-US" w:eastAsia="zh-CN"/>
        </w:rPr>
        <w:t xml:space="preserve">：沈阳市和平区北六经街1号，沈阳市外事服务学校（南市校区）  邮编：110003  联系人：李丹、魏连宏    联系电话：024-22716904 18624081539  </w:t>
      </w:r>
      <w:r>
        <w:rPr>
          <w:rFonts w:hint="eastAsia" w:ascii="仿宋" w:hAnsi="仿宋" w:eastAsia="仿宋" w:cs="仿宋"/>
          <w:sz w:val="32"/>
          <w:szCs w:val="32"/>
        </w:rPr>
        <w:t xml:space="preserve">       电子版报送邮箱：lnjxcg@163.com</w:t>
      </w:r>
    </w:p>
    <w:p>
      <w:pPr>
        <w:rPr>
          <w:rFonts w:hint="eastAsia" w:ascii="仿宋" w:hAnsi="仿宋" w:eastAsia="仿宋" w:cs="仿宋"/>
          <w:sz w:val="32"/>
          <w:szCs w:val="32"/>
        </w:rPr>
      </w:pPr>
      <w:r>
        <w:rPr>
          <w:rFonts w:hint="eastAsia" w:ascii="仿宋" w:hAnsi="仿宋" w:eastAsia="仿宋" w:cs="仿宋"/>
          <w:sz w:val="32"/>
          <w:szCs w:val="32"/>
        </w:rPr>
        <w:t>　　</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省教育厅职业教育与成人教育处联系人： </w:t>
      </w:r>
      <w:r>
        <w:rPr>
          <w:rFonts w:hint="eastAsia" w:ascii="仿宋" w:hAnsi="仿宋" w:eastAsia="仿宋" w:cs="仿宋"/>
          <w:sz w:val="32"/>
          <w:szCs w:val="32"/>
          <w:lang w:val="en-US" w:eastAsia="zh-CN"/>
        </w:rPr>
        <w:t>苏云海</w:t>
      </w:r>
      <w:bookmarkStart w:id="0" w:name="_GoBack"/>
      <w:bookmarkEnd w:id="0"/>
    </w:p>
    <w:p>
      <w:pPr>
        <w:rPr>
          <w:rFonts w:ascii="仿宋" w:hAnsi="仿宋" w:eastAsia="仿宋" w:cs="仿宋"/>
          <w:sz w:val="32"/>
          <w:szCs w:val="32"/>
        </w:rPr>
      </w:pPr>
      <w:r>
        <w:rPr>
          <w:rFonts w:hint="eastAsia" w:ascii="仿宋" w:hAnsi="仿宋" w:eastAsia="仿宋" w:cs="仿宋"/>
          <w:sz w:val="32"/>
          <w:szCs w:val="32"/>
        </w:rPr>
        <w:t>　　联系电话：</w:t>
      </w:r>
      <w:r>
        <w:rPr>
          <w:rFonts w:hint="eastAsia" w:ascii="仿宋" w:hAnsi="仿宋" w:eastAsia="仿宋" w:cs="仿宋"/>
          <w:sz w:val="32"/>
          <w:szCs w:val="32"/>
          <w:lang w:val="en-US" w:eastAsia="zh-CN"/>
        </w:rPr>
        <w:t>024-86907708</w:t>
      </w:r>
    </w:p>
    <w:p>
      <w:pPr>
        <w:rPr>
          <w:rFonts w:ascii="仿宋" w:hAnsi="仿宋" w:eastAsia="仿宋" w:cs="仿宋"/>
          <w:sz w:val="32"/>
          <w:szCs w:val="32"/>
        </w:rPr>
      </w:pPr>
      <w:r>
        <w:rPr>
          <w:rFonts w:hint="eastAsia" w:ascii="仿宋" w:hAnsi="仿宋" w:eastAsia="仿宋" w:cs="仿宋"/>
          <w:sz w:val="32"/>
          <w:szCs w:val="32"/>
        </w:rPr>
        <w:t>　</w:t>
      </w:r>
    </w:p>
    <w:p>
      <w:pPr>
        <w:rPr>
          <w:rFonts w:ascii="仿宋" w:hAnsi="仿宋" w:eastAsia="仿宋" w:cs="仿宋"/>
          <w:sz w:val="32"/>
          <w:szCs w:val="32"/>
        </w:rPr>
      </w:pPr>
      <w:r>
        <w:rPr>
          <w:rFonts w:hint="eastAsia" w:ascii="仿宋" w:hAnsi="仿宋" w:eastAsia="仿宋" w:cs="仿宋"/>
          <w:sz w:val="32"/>
          <w:szCs w:val="32"/>
        </w:rPr>
        <w:t xml:space="preserve"> 　　附件：</w:t>
      </w:r>
    </w:p>
    <w:p>
      <w:pPr>
        <w:rPr>
          <w:rFonts w:ascii="仿宋" w:hAnsi="仿宋" w:eastAsia="仿宋" w:cs="仿宋"/>
          <w:sz w:val="32"/>
          <w:szCs w:val="32"/>
        </w:rPr>
      </w:pPr>
      <w:r>
        <w:rPr>
          <w:rFonts w:hint="eastAsia" w:ascii="仿宋" w:hAnsi="仿宋" w:eastAsia="仿宋" w:cs="仿宋"/>
          <w:sz w:val="32"/>
          <w:szCs w:val="32"/>
        </w:rPr>
        <w:t xml:space="preserve">     1.2018年辽宁省职业教育与成人教育教学成果奖推荐书</w:t>
      </w:r>
    </w:p>
    <w:p>
      <w:pPr>
        <w:rPr>
          <w:rFonts w:ascii="仿宋" w:hAnsi="仿宋" w:eastAsia="仿宋" w:cs="仿宋"/>
          <w:sz w:val="32"/>
          <w:szCs w:val="32"/>
        </w:rPr>
      </w:pPr>
      <w:r>
        <w:rPr>
          <w:rFonts w:hint="eastAsia" w:ascii="仿宋" w:hAnsi="仿宋" w:eastAsia="仿宋" w:cs="仿宋"/>
          <w:sz w:val="32"/>
          <w:szCs w:val="32"/>
        </w:rPr>
        <w:t>　　 2.2018年辽宁省职业教育与成人教育教学成果奖推荐简况表</w:t>
      </w:r>
    </w:p>
    <w:p>
      <w:pPr>
        <w:rPr>
          <w:rFonts w:hint="eastAsia" w:ascii="仿宋" w:hAnsi="仿宋" w:eastAsia="仿宋" w:cs="仿宋"/>
          <w:sz w:val="32"/>
          <w:szCs w:val="32"/>
        </w:rPr>
      </w:pPr>
      <w:r>
        <w:rPr>
          <w:rFonts w:hint="eastAsia" w:ascii="仿宋" w:hAnsi="仿宋" w:eastAsia="仿宋" w:cs="仿宋"/>
          <w:sz w:val="32"/>
          <w:szCs w:val="32"/>
        </w:rPr>
        <w:t>　　 3.2018年辽宁省职业教育与成人教育教学成果奖推荐成果汇总表</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4.</w:t>
      </w:r>
      <w:r>
        <w:rPr>
          <w:rFonts w:hint="eastAsia" w:ascii="仿宋" w:hAnsi="仿宋" w:eastAsia="仿宋" w:cs="仿宋"/>
          <w:color w:val="auto"/>
          <w:sz w:val="32"/>
          <w:szCs w:val="32"/>
          <w:lang w:val="en-US" w:eastAsia="zh-CN"/>
        </w:rPr>
        <w:t xml:space="preserve"> 2018年辽宁省职业教育与成人教育教学成果奖推荐名额分配表</w:t>
      </w:r>
    </w:p>
    <w:p>
      <w:pPr>
        <w:rPr>
          <w:rFonts w:hint="eastAsia" w:ascii="仿宋" w:hAnsi="仿宋" w:eastAsia="仿宋" w:cs="仿宋"/>
          <w:sz w:val="32"/>
          <w:szCs w:val="32"/>
        </w:rPr>
      </w:pPr>
      <w:r>
        <w:rPr>
          <w:rFonts w:hint="eastAsia" w:ascii="仿宋" w:hAnsi="仿宋" w:eastAsia="仿宋" w:cs="仿宋"/>
          <w:sz w:val="32"/>
          <w:szCs w:val="32"/>
        </w:rPr>
        <w:t xml:space="preserve">　　                              </w:t>
      </w:r>
    </w:p>
    <w:p>
      <w:pPr>
        <w:ind w:firstLine="3200" w:firstLineChars="1000"/>
        <w:rPr>
          <w:rFonts w:ascii="仿宋" w:hAnsi="仿宋" w:eastAsia="仿宋" w:cs="仿宋"/>
          <w:sz w:val="32"/>
          <w:szCs w:val="32"/>
        </w:rPr>
      </w:pPr>
      <w:r>
        <w:rPr>
          <w:rFonts w:hint="eastAsia" w:ascii="仿宋" w:hAnsi="仿宋" w:eastAsia="仿宋" w:cs="仿宋"/>
          <w:sz w:val="32"/>
          <w:szCs w:val="32"/>
        </w:rPr>
        <w:t xml:space="preserve"> 辽宁省教育厅办公室 </w:t>
      </w:r>
    </w:p>
    <w:p>
      <w:pPr>
        <w:rPr>
          <w:rFonts w:ascii="仿宋" w:hAnsi="仿宋" w:eastAsia="仿宋" w:cs="仿宋"/>
          <w:sz w:val="32"/>
          <w:szCs w:val="32"/>
        </w:rPr>
      </w:pPr>
      <w:r>
        <w:rPr>
          <w:rFonts w:hint="eastAsia" w:ascii="仿宋" w:hAnsi="仿宋" w:eastAsia="仿宋" w:cs="仿宋"/>
          <w:sz w:val="32"/>
          <w:szCs w:val="32"/>
        </w:rPr>
        <w:t>　                  　2018年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jc w:val="center"/>
        <w:rPr>
          <w:b/>
          <w:sz w:val="32"/>
          <w:szCs w:val="32"/>
        </w:rPr>
      </w:pPr>
    </w:p>
    <w:p>
      <w:pPr>
        <w:rPr>
          <w:sz w:val="32"/>
          <w:szCs w:val="32"/>
        </w:rPr>
      </w:pPr>
      <w:r>
        <w:rPr>
          <w:rFonts w:hint="eastAsia"/>
          <w:sz w:val="32"/>
          <w:szCs w:val="32"/>
        </w:rPr>
        <w:t>　</w:t>
      </w:r>
    </w:p>
    <w:p>
      <w:pPr>
        <w:rPr>
          <w:rFonts w:ascii="仿宋" w:hAnsi="仿宋" w:eastAsia="仿宋" w:cs="仿宋"/>
          <w:sz w:val="32"/>
          <w:szCs w:val="32"/>
        </w:rPr>
      </w:pPr>
      <w:r>
        <w:rPr>
          <w:rFonts w:hint="eastAsia" w:ascii="仿宋" w:hAnsi="仿宋" w:eastAsia="仿宋" w:cs="仿宋"/>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5720E"/>
    <w:rsid w:val="00014048"/>
    <w:rsid w:val="00015FF9"/>
    <w:rsid w:val="000303C9"/>
    <w:rsid w:val="00040EF9"/>
    <w:rsid w:val="000529C2"/>
    <w:rsid w:val="00072F1D"/>
    <w:rsid w:val="00081A86"/>
    <w:rsid w:val="000A1ABB"/>
    <w:rsid w:val="000A7D10"/>
    <w:rsid w:val="000B07E9"/>
    <w:rsid w:val="000F21B6"/>
    <w:rsid w:val="000F7485"/>
    <w:rsid w:val="00172515"/>
    <w:rsid w:val="00176D20"/>
    <w:rsid w:val="00181D0D"/>
    <w:rsid w:val="001A6AC4"/>
    <w:rsid w:val="001C3ABD"/>
    <w:rsid w:val="001C7BF5"/>
    <w:rsid w:val="001F2CE0"/>
    <w:rsid w:val="0027446D"/>
    <w:rsid w:val="002F77EA"/>
    <w:rsid w:val="0031761D"/>
    <w:rsid w:val="0033146C"/>
    <w:rsid w:val="00337713"/>
    <w:rsid w:val="0035141F"/>
    <w:rsid w:val="003730D7"/>
    <w:rsid w:val="003A3142"/>
    <w:rsid w:val="003C1FD7"/>
    <w:rsid w:val="003E00F3"/>
    <w:rsid w:val="003E40CE"/>
    <w:rsid w:val="003E65D5"/>
    <w:rsid w:val="003E7E48"/>
    <w:rsid w:val="003F127D"/>
    <w:rsid w:val="00412864"/>
    <w:rsid w:val="00412E4D"/>
    <w:rsid w:val="004170C1"/>
    <w:rsid w:val="004237F5"/>
    <w:rsid w:val="00423DFE"/>
    <w:rsid w:val="004309CC"/>
    <w:rsid w:val="00443A35"/>
    <w:rsid w:val="00485D7A"/>
    <w:rsid w:val="00491F9F"/>
    <w:rsid w:val="00493B57"/>
    <w:rsid w:val="004A6FB9"/>
    <w:rsid w:val="004C170E"/>
    <w:rsid w:val="004C7D5C"/>
    <w:rsid w:val="004D684E"/>
    <w:rsid w:val="004F1461"/>
    <w:rsid w:val="005142E0"/>
    <w:rsid w:val="00525F98"/>
    <w:rsid w:val="00552BF4"/>
    <w:rsid w:val="00567F24"/>
    <w:rsid w:val="00580E8D"/>
    <w:rsid w:val="00582FD1"/>
    <w:rsid w:val="00585184"/>
    <w:rsid w:val="005B07DF"/>
    <w:rsid w:val="005C126E"/>
    <w:rsid w:val="005C453C"/>
    <w:rsid w:val="005D2D2D"/>
    <w:rsid w:val="005D3566"/>
    <w:rsid w:val="005D55AC"/>
    <w:rsid w:val="005E726C"/>
    <w:rsid w:val="00603300"/>
    <w:rsid w:val="00603C85"/>
    <w:rsid w:val="0065146F"/>
    <w:rsid w:val="00655ACF"/>
    <w:rsid w:val="0065720E"/>
    <w:rsid w:val="00663587"/>
    <w:rsid w:val="00671424"/>
    <w:rsid w:val="006776A0"/>
    <w:rsid w:val="0068634E"/>
    <w:rsid w:val="00690C60"/>
    <w:rsid w:val="006A7AB0"/>
    <w:rsid w:val="006C02A0"/>
    <w:rsid w:val="006D07E5"/>
    <w:rsid w:val="006D27AA"/>
    <w:rsid w:val="006D42C9"/>
    <w:rsid w:val="006F0CAD"/>
    <w:rsid w:val="00720A58"/>
    <w:rsid w:val="0073753B"/>
    <w:rsid w:val="00747147"/>
    <w:rsid w:val="00761A0B"/>
    <w:rsid w:val="00767BF4"/>
    <w:rsid w:val="007E4E09"/>
    <w:rsid w:val="0080510E"/>
    <w:rsid w:val="008338A1"/>
    <w:rsid w:val="00840602"/>
    <w:rsid w:val="0085027A"/>
    <w:rsid w:val="0085588D"/>
    <w:rsid w:val="0087008F"/>
    <w:rsid w:val="00882D30"/>
    <w:rsid w:val="008A224D"/>
    <w:rsid w:val="008B7249"/>
    <w:rsid w:val="008C7BFD"/>
    <w:rsid w:val="008D7868"/>
    <w:rsid w:val="00910661"/>
    <w:rsid w:val="0094319F"/>
    <w:rsid w:val="00950108"/>
    <w:rsid w:val="00967A29"/>
    <w:rsid w:val="00967C5D"/>
    <w:rsid w:val="00980006"/>
    <w:rsid w:val="00986B41"/>
    <w:rsid w:val="009A102E"/>
    <w:rsid w:val="009A31E0"/>
    <w:rsid w:val="009B59EA"/>
    <w:rsid w:val="009E4BD8"/>
    <w:rsid w:val="009E72FA"/>
    <w:rsid w:val="00A14FF9"/>
    <w:rsid w:val="00A21D80"/>
    <w:rsid w:val="00A275C9"/>
    <w:rsid w:val="00A40CEE"/>
    <w:rsid w:val="00A43CC1"/>
    <w:rsid w:val="00A566E1"/>
    <w:rsid w:val="00A74C65"/>
    <w:rsid w:val="00AD7461"/>
    <w:rsid w:val="00AE29B1"/>
    <w:rsid w:val="00AE767C"/>
    <w:rsid w:val="00B00F86"/>
    <w:rsid w:val="00B12DF5"/>
    <w:rsid w:val="00B15335"/>
    <w:rsid w:val="00B3228D"/>
    <w:rsid w:val="00B33DFF"/>
    <w:rsid w:val="00B73FB0"/>
    <w:rsid w:val="00BB1888"/>
    <w:rsid w:val="00BC0018"/>
    <w:rsid w:val="00BC5FD4"/>
    <w:rsid w:val="00BF3BF4"/>
    <w:rsid w:val="00BF6C24"/>
    <w:rsid w:val="00C12767"/>
    <w:rsid w:val="00C40E2F"/>
    <w:rsid w:val="00C80A1B"/>
    <w:rsid w:val="00C90D14"/>
    <w:rsid w:val="00C93FC9"/>
    <w:rsid w:val="00CA040C"/>
    <w:rsid w:val="00CA506F"/>
    <w:rsid w:val="00CA7BFC"/>
    <w:rsid w:val="00CB0720"/>
    <w:rsid w:val="00CB0BAB"/>
    <w:rsid w:val="00CC3902"/>
    <w:rsid w:val="00CC7709"/>
    <w:rsid w:val="00D00BF5"/>
    <w:rsid w:val="00D00CCF"/>
    <w:rsid w:val="00D13302"/>
    <w:rsid w:val="00D1392F"/>
    <w:rsid w:val="00D20EAC"/>
    <w:rsid w:val="00D341AE"/>
    <w:rsid w:val="00D7649C"/>
    <w:rsid w:val="00D80D99"/>
    <w:rsid w:val="00D84F20"/>
    <w:rsid w:val="00D927D1"/>
    <w:rsid w:val="00D95D5C"/>
    <w:rsid w:val="00DC4286"/>
    <w:rsid w:val="00DE7F81"/>
    <w:rsid w:val="00DF0881"/>
    <w:rsid w:val="00E0736F"/>
    <w:rsid w:val="00E2379E"/>
    <w:rsid w:val="00E26FEC"/>
    <w:rsid w:val="00E43F36"/>
    <w:rsid w:val="00E47618"/>
    <w:rsid w:val="00E52ACE"/>
    <w:rsid w:val="00E875AD"/>
    <w:rsid w:val="00E95515"/>
    <w:rsid w:val="00EC7C29"/>
    <w:rsid w:val="00ED19F1"/>
    <w:rsid w:val="00EF1B4D"/>
    <w:rsid w:val="00F16F83"/>
    <w:rsid w:val="00F3189D"/>
    <w:rsid w:val="00F336CB"/>
    <w:rsid w:val="00F3526F"/>
    <w:rsid w:val="00F81553"/>
    <w:rsid w:val="00F82414"/>
    <w:rsid w:val="00F92E19"/>
    <w:rsid w:val="00FA541C"/>
    <w:rsid w:val="00FB73FA"/>
    <w:rsid w:val="00FC494A"/>
    <w:rsid w:val="00FD587E"/>
    <w:rsid w:val="0EA74D9F"/>
    <w:rsid w:val="151D44A2"/>
    <w:rsid w:val="183A239B"/>
    <w:rsid w:val="1AC2530D"/>
    <w:rsid w:val="23815FFB"/>
    <w:rsid w:val="310904CC"/>
    <w:rsid w:val="36DC0925"/>
    <w:rsid w:val="43016BC8"/>
    <w:rsid w:val="48301027"/>
    <w:rsid w:val="48720830"/>
    <w:rsid w:val="525226CC"/>
    <w:rsid w:val="542E4FB1"/>
    <w:rsid w:val="5D402BCD"/>
    <w:rsid w:val="6440022E"/>
    <w:rsid w:val="779513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3A11B5-40E0-4545-A7DE-E4BC9EEACC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585</Words>
  <Characters>3336</Characters>
  <Lines>27</Lines>
  <Paragraphs>7</Paragraphs>
  <ScaleCrop>false</ScaleCrop>
  <LinksUpToDate>false</LinksUpToDate>
  <CharactersWithSpaces>3914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2018-02-08T02:18:00Z</dcterms:created>
  <dc:creator>liu</dc:creator>
  <cp:lastModifiedBy>a</cp:lastModifiedBy>
  <cp:lastPrinted>2018-02-28T08:27:00Z</cp:lastPrinted>
  <dcterms:modified xsi:type="dcterms:W3CDTF">2018-03-01T04:51:35Z</dcterms:modified>
  <cp:revision>779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